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骨密度测试仪技术参数</w:t>
      </w: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基本需求：便携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，可外出巡诊。</w:t>
      </w:r>
      <w:bookmarkStart w:id="0" w:name="_GoBack"/>
      <w:bookmarkEnd w:id="0"/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测量方式：手持式宽频聚焦超声探头，全干式沿骨轴测量，四晶片双发射双接收。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测量部位：桡骨+胫骨双部位。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探头频率：探头中心频率1.25MHz。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测量时间：&lt;30秒。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声速SOS精确度：≤0.15%，声速SOS测量重复性：CV≤0.4%。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诊断参数：SOS、T值、Z值、BQI、PAB、EOA、RRF，成人百分比、同龄百分比。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内置参考数据库：适用亚洲人种(中国，男/女)正常参考数据库。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报告打印：彩色打印报告单。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病人数据管理： ＞20000个病例。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探头寿命：在产品寿命期内正常使用不需更换。</w:t>
      </w:r>
    </w:p>
    <w:p>
      <w:pPr>
        <w:tabs>
          <w:tab w:val="left" w:pos="180"/>
          <w:tab w:val="left" w:pos="1620"/>
        </w:tabs>
        <w:adjustRightInd w:val="0"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测量人群：多人群测量（儿童+成人）（0-100岁）。</w:t>
      </w:r>
    </w:p>
    <w:p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操作温度： 18-35℃。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9723B"/>
    <w:rsid w:val="5069723B"/>
    <w:rsid w:val="662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2022-02-14T01:35:00Z</dcterms:created>
  <dc:creator>pc12456</dc:creator>
  <cp:lastModifiedBy>pc12456</cp:lastModifiedBy>
  <dcterms:modified xsi:type="dcterms:W3CDTF">2022-02-14T01:36:06Z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23F6C107FEB84D5DA1D011DE9C26FD91</vt:lpwstr>
  </property>
</Properties>
</file>